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8CB3" w14:textId="77777777" w:rsidR="00814608" w:rsidRPr="001F1980" w:rsidRDefault="00814608" w:rsidP="00244B89">
      <w:pPr>
        <w:pStyle w:val="paragraph"/>
        <w:spacing w:before="0" w:beforeAutospacing="0" w:after="0" w:afterAutospacing="0"/>
        <w:ind w:right="-284"/>
        <w:jc w:val="center"/>
        <w:textAlignment w:val="baseline"/>
        <w:rPr>
          <w:rStyle w:val="eop"/>
        </w:rPr>
      </w:pPr>
      <w:r w:rsidRPr="001F1980">
        <w:rPr>
          <w:rStyle w:val="normaltextrun"/>
          <w:b/>
          <w:bCs/>
        </w:rPr>
        <w:t>Schriftenverzeichnis Michael </w:t>
      </w:r>
      <w:proofErr w:type="spellStart"/>
      <w:r w:rsidRPr="001F1980">
        <w:rPr>
          <w:rStyle w:val="normaltextrun"/>
          <w:b/>
          <w:bCs/>
        </w:rPr>
        <w:t>Denga</w:t>
      </w:r>
      <w:proofErr w:type="spellEnd"/>
      <w:r w:rsidRPr="001F1980">
        <w:rPr>
          <w:rStyle w:val="eop"/>
        </w:rPr>
        <w:t> </w:t>
      </w:r>
    </w:p>
    <w:p w14:paraId="672A6659" w14:textId="77777777" w:rsidR="002E69AA" w:rsidRPr="001F1980" w:rsidRDefault="002E69AA" w:rsidP="00244B89">
      <w:pPr>
        <w:pStyle w:val="paragraph"/>
        <w:spacing w:before="0" w:beforeAutospacing="0" w:after="0" w:afterAutospacing="0"/>
        <w:ind w:right="-284"/>
        <w:jc w:val="center"/>
        <w:textAlignment w:val="baseline"/>
      </w:pPr>
    </w:p>
    <w:p w14:paraId="7F0DD763" w14:textId="31BACDE1" w:rsidR="00814608" w:rsidRPr="001F1980" w:rsidRDefault="55534AAA" w:rsidP="55534AAA">
      <w:pPr>
        <w:pStyle w:val="paragraph"/>
        <w:spacing w:before="0" w:beforeAutospacing="0" w:after="0" w:afterAutospacing="0"/>
        <w:ind w:right="-284"/>
        <w:jc w:val="center"/>
        <w:textAlignment w:val="baseline"/>
        <w:rPr>
          <w:rStyle w:val="normaltextrun"/>
        </w:rPr>
      </w:pPr>
      <w:r w:rsidRPr="55534AAA">
        <w:rPr>
          <w:rStyle w:val="normaltextrun"/>
        </w:rPr>
        <w:t>Februar 2021</w:t>
      </w:r>
    </w:p>
    <w:p w14:paraId="1751286E" w14:textId="77777777" w:rsidR="00EC29C9" w:rsidRPr="001F1980" w:rsidRDefault="00EC29C9" w:rsidP="00244B89">
      <w:pPr>
        <w:pStyle w:val="paragraph"/>
        <w:spacing w:before="0" w:beforeAutospacing="0" w:after="0" w:afterAutospacing="0"/>
        <w:ind w:right="-284"/>
        <w:jc w:val="center"/>
        <w:textAlignment w:val="baseline"/>
      </w:pPr>
    </w:p>
    <w:p w14:paraId="6E7BEAA2" w14:textId="77777777" w:rsidR="00814608" w:rsidRPr="001F1980" w:rsidRDefault="00814608" w:rsidP="00244B89">
      <w:pPr>
        <w:pStyle w:val="paragraph"/>
        <w:spacing w:before="0" w:beforeAutospacing="0" w:after="0" w:afterAutospacing="0"/>
        <w:ind w:right="-284"/>
        <w:textAlignment w:val="baseline"/>
      </w:pPr>
      <w:r w:rsidRPr="001F1980">
        <w:rPr>
          <w:rStyle w:val="eop"/>
        </w:rPr>
        <w:t> </w:t>
      </w:r>
    </w:p>
    <w:p w14:paraId="2202C77A" w14:textId="60C054CE" w:rsidR="00492E93" w:rsidRPr="001F1980" w:rsidRDefault="3C08FA36" w:rsidP="3C08FA36">
      <w:pPr>
        <w:pStyle w:val="paragraph"/>
        <w:spacing w:before="0" w:beforeAutospacing="0" w:after="0" w:afterAutospacing="0"/>
        <w:ind w:right="-284"/>
        <w:textAlignment w:val="baseline"/>
        <w:rPr>
          <w:rStyle w:val="eop"/>
        </w:rPr>
      </w:pPr>
      <w:proofErr w:type="gramStart"/>
      <w:r w:rsidRPr="001F1980">
        <w:rPr>
          <w:rStyle w:val="normaltextrun"/>
          <w:b/>
          <w:bCs/>
        </w:rPr>
        <w:t>Monographie</w:t>
      </w:r>
      <w:proofErr w:type="gramEnd"/>
      <w:r w:rsidRPr="001F1980">
        <w:rPr>
          <w:rStyle w:val="normaltextrun"/>
          <w:b/>
          <w:bCs/>
        </w:rPr>
        <w:t xml:space="preserve">, sowie Beiträge zu Kommentaren, Sammelbänden und Handbüchern </w:t>
      </w:r>
    </w:p>
    <w:p w14:paraId="0A37501D" w14:textId="77777777" w:rsidR="00492E93" w:rsidRPr="001F1980" w:rsidRDefault="00492E93" w:rsidP="00244B89">
      <w:pPr>
        <w:pStyle w:val="paragraph"/>
        <w:spacing w:before="0" w:beforeAutospacing="0" w:after="0" w:afterAutospacing="0"/>
        <w:ind w:right="-284"/>
        <w:textAlignment w:val="baseline"/>
      </w:pPr>
    </w:p>
    <w:p w14:paraId="63E4A9CD" w14:textId="2217E94F" w:rsidR="00814608" w:rsidRPr="001F1980" w:rsidRDefault="00814608" w:rsidP="00244B89">
      <w:pPr>
        <w:pStyle w:val="paragraph"/>
        <w:numPr>
          <w:ilvl w:val="0"/>
          <w:numId w:val="1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Legitimität und Krise urheberrechtlicher Verwertungsgesellschaften – Kollektive Rechtewahrnehmung zwischen Utilitarismus und Demokratie</w:t>
      </w:r>
      <w:r w:rsidRPr="001F1980">
        <w:rPr>
          <w:rStyle w:val="normaltextrun"/>
        </w:rPr>
        <w:t>, Dissertation, Baden-Baden, 2015 (Rezension von </w:t>
      </w:r>
      <w:r w:rsidRPr="001F1980">
        <w:rPr>
          <w:rStyle w:val="normaltextrun"/>
          <w:i/>
          <w:iCs/>
        </w:rPr>
        <w:t>Berberich</w:t>
      </w:r>
      <w:r w:rsidRPr="001F1980">
        <w:rPr>
          <w:rStyle w:val="normaltextrun"/>
        </w:rPr>
        <w:t>, ZGE 7 (2015), 229 ff.).</w:t>
      </w:r>
      <w:r w:rsidRPr="001F1980">
        <w:rPr>
          <w:rStyle w:val="eop"/>
        </w:rPr>
        <w:t>  </w:t>
      </w:r>
    </w:p>
    <w:p w14:paraId="4F6584BE" w14:textId="77777777" w:rsidR="00814608" w:rsidRPr="001F1980" w:rsidRDefault="00814608" w:rsidP="00244B89">
      <w:pPr>
        <w:pStyle w:val="paragraph"/>
        <w:spacing w:before="0" w:beforeAutospacing="0" w:after="0" w:afterAutospacing="0"/>
        <w:ind w:left="720" w:right="-284" w:hanging="360"/>
        <w:textAlignment w:val="baseline"/>
      </w:pPr>
      <w:r w:rsidRPr="001F1980">
        <w:rPr>
          <w:rStyle w:val="eop"/>
        </w:rPr>
        <w:t> </w:t>
      </w:r>
    </w:p>
    <w:p w14:paraId="1D70E6E4" w14:textId="324DA776" w:rsidR="00A4232D" w:rsidRPr="001F1980" w:rsidRDefault="00A4232D" w:rsidP="00244B89">
      <w:pPr>
        <w:pStyle w:val="paragraph"/>
        <w:numPr>
          <w:ilvl w:val="0"/>
          <w:numId w:val="2"/>
        </w:numPr>
        <w:spacing w:before="0" w:beforeAutospacing="0" w:after="0" w:afterAutospacing="0"/>
        <w:ind w:left="360" w:right="-284"/>
        <w:textAlignment w:val="baseline"/>
        <w:rPr>
          <w:rStyle w:val="eop"/>
        </w:rPr>
      </w:pPr>
      <w:r w:rsidRPr="001F1980">
        <w:rPr>
          <w:rStyle w:val="normaltextrun"/>
          <w:i/>
          <w:iCs/>
        </w:rPr>
        <w:t xml:space="preserve">§ 15 </w:t>
      </w:r>
      <w:r w:rsidR="00814608" w:rsidRPr="001F1980">
        <w:rPr>
          <w:rStyle w:val="normaltextrun"/>
          <w:i/>
          <w:iCs/>
        </w:rPr>
        <w:t>Finanzdienstleistungen</w:t>
      </w:r>
      <w:r w:rsidR="00814608" w:rsidRPr="001F1980">
        <w:rPr>
          <w:rStyle w:val="normaltextrun"/>
        </w:rPr>
        <w:t xml:space="preserve">, in Ebers/Heinze/Krügel/Steinrötter, Rechtshandbuch Künstliche Intelligenz und Robotik, C.H.Beck, </w:t>
      </w:r>
      <w:r w:rsidRPr="001F1980">
        <w:rPr>
          <w:rStyle w:val="normaltextrun"/>
        </w:rPr>
        <w:t>2020</w:t>
      </w:r>
      <w:r w:rsidR="00814608" w:rsidRPr="001F1980">
        <w:rPr>
          <w:rStyle w:val="normaltextrun"/>
        </w:rPr>
        <w:t>.</w:t>
      </w:r>
      <w:r w:rsidR="00814608" w:rsidRPr="001F1980">
        <w:rPr>
          <w:rStyle w:val="eop"/>
        </w:rPr>
        <w:t> </w:t>
      </w:r>
    </w:p>
    <w:p w14:paraId="681E1B0D" w14:textId="77777777" w:rsidR="00A4232D" w:rsidRPr="001F1980" w:rsidRDefault="00A4232D" w:rsidP="00244B89">
      <w:pPr>
        <w:pStyle w:val="paragraph"/>
        <w:spacing w:before="0" w:beforeAutospacing="0" w:after="0" w:afterAutospacing="0"/>
        <w:ind w:left="360" w:right="-284" w:hanging="360"/>
        <w:textAlignment w:val="baseline"/>
        <w:rPr>
          <w:rStyle w:val="eop"/>
        </w:rPr>
      </w:pPr>
    </w:p>
    <w:p w14:paraId="24035CFB" w14:textId="6EF3E3A3" w:rsidR="00A4232D" w:rsidRPr="001F1980" w:rsidRDefault="00A4232D" w:rsidP="00244B89">
      <w:pPr>
        <w:pStyle w:val="paragraph"/>
        <w:numPr>
          <w:ilvl w:val="0"/>
          <w:numId w:val="2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§ 23 Haftungsfragen beim Automatisierten Transport</w:t>
      </w:r>
      <w:r w:rsidRPr="001F1980">
        <w:rPr>
          <w:rStyle w:val="normaltextrun"/>
        </w:rPr>
        <w:t>, in Ebers/Heinze/Krügel/Steinrötter, Rechtshandbuch Künstliche Intelligenz und Robotik, C.H.Beck, 2020.</w:t>
      </w:r>
      <w:r w:rsidRPr="001F1980">
        <w:rPr>
          <w:rStyle w:val="eop"/>
        </w:rPr>
        <w:t> </w:t>
      </w:r>
    </w:p>
    <w:p w14:paraId="09AF38FC" w14:textId="30737985" w:rsidR="00814608" w:rsidRPr="001F1980" w:rsidRDefault="00814608" w:rsidP="00244B89">
      <w:pPr>
        <w:pStyle w:val="paragraph"/>
        <w:spacing w:before="0" w:beforeAutospacing="0" w:after="0" w:afterAutospacing="0"/>
        <w:ind w:left="360" w:right="-284" w:hanging="360"/>
        <w:textAlignment w:val="baseline"/>
      </w:pPr>
    </w:p>
    <w:p w14:paraId="04E7F52A" w14:textId="4EA060C8" w:rsidR="006E510A" w:rsidRPr="001F1980" w:rsidRDefault="00814608" w:rsidP="00244B89">
      <w:pPr>
        <w:pStyle w:val="paragraph"/>
        <w:numPr>
          <w:ilvl w:val="0"/>
          <w:numId w:val="4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Die Technology </w:t>
      </w:r>
      <w:proofErr w:type="spellStart"/>
      <w:r w:rsidRPr="001F1980">
        <w:rPr>
          <w:rStyle w:val="normaltextrun"/>
          <w:i/>
          <w:iCs/>
        </w:rPr>
        <w:t>Judgement</w:t>
      </w:r>
      <w:proofErr w:type="spellEnd"/>
      <w:r w:rsidRPr="001F1980">
        <w:rPr>
          <w:rStyle w:val="normaltextrun"/>
          <w:i/>
          <w:iCs/>
        </w:rPr>
        <w:t> Rule</w:t>
      </w:r>
      <w:r w:rsidRPr="001F1980">
        <w:rPr>
          <w:rStyle w:val="normaltextrun"/>
        </w:rPr>
        <w:t>, im Band der 6. Tagung GRUR Junge Wissenschaft – Intelligente Systeme – Intelligentes Recht, erscheint</w:t>
      </w:r>
      <w:r w:rsidR="00EC29C9" w:rsidRPr="001F1980">
        <w:rPr>
          <w:rStyle w:val="normaltextrun"/>
        </w:rPr>
        <w:t xml:space="preserve"> (voraussichtlich) </w:t>
      </w:r>
      <w:r w:rsidRPr="001F1980">
        <w:rPr>
          <w:rStyle w:val="normaltextrun"/>
        </w:rPr>
        <w:t>2020 bei Nomos, ca. 20 Seiten. </w:t>
      </w:r>
      <w:r w:rsidRPr="001F1980">
        <w:rPr>
          <w:rStyle w:val="eop"/>
        </w:rPr>
        <w:t> </w:t>
      </w:r>
    </w:p>
    <w:p w14:paraId="5DAB6C7B" w14:textId="77777777" w:rsidR="006E510A" w:rsidRPr="001F1980" w:rsidRDefault="006E510A" w:rsidP="00244B89">
      <w:pPr>
        <w:pStyle w:val="paragraph"/>
        <w:spacing w:before="0" w:beforeAutospacing="0" w:after="0" w:afterAutospacing="0"/>
        <w:ind w:left="360" w:right="-284" w:hanging="360"/>
        <w:textAlignment w:val="baseline"/>
        <w:rPr>
          <w:rStyle w:val="normaltextrun"/>
        </w:rPr>
      </w:pPr>
    </w:p>
    <w:p w14:paraId="0C08B4FC" w14:textId="77777777" w:rsidR="006E510A" w:rsidRPr="001F1980" w:rsidRDefault="00814608" w:rsidP="00244B89">
      <w:pPr>
        <w:pStyle w:val="paragraph"/>
        <w:numPr>
          <w:ilvl w:val="0"/>
          <w:numId w:val="4"/>
        </w:numPr>
        <w:spacing w:before="0" w:beforeAutospacing="0" w:after="0" w:afterAutospacing="0"/>
        <w:ind w:left="360" w:right="-284"/>
        <w:textAlignment w:val="baseline"/>
        <w:rPr>
          <w:rStyle w:val="eop"/>
        </w:rPr>
      </w:pPr>
      <w:r w:rsidRPr="001F1980">
        <w:rPr>
          <w:rStyle w:val="normaltextrun"/>
          <w:i/>
          <w:iCs/>
        </w:rPr>
        <w:t>Künstliche Intelligenz, </w:t>
      </w:r>
      <w:r w:rsidRPr="001F1980">
        <w:rPr>
          <w:rStyle w:val="normaltextrun"/>
        </w:rPr>
        <w:t>in Bräutigam/Kraul, IoT – Internet </w:t>
      </w:r>
      <w:proofErr w:type="spellStart"/>
      <w:r w:rsidRPr="001F1980">
        <w:rPr>
          <w:rStyle w:val="normaltextrun"/>
        </w:rPr>
        <w:t>of</w:t>
      </w:r>
      <w:proofErr w:type="spellEnd"/>
      <w:r w:rsidRPr="001F1980">
        <w:rPr>
          <w:rStyle w:val="normaltextrun"/>
        </w:rPr>
        <w:t> Things, Rechtshandbuch, erscheint 2021 bei C.H.Beck, ca. 40 Seiten.</w:t>
      </w:r>
      <w:r w:rsidRPr="001F1980">
        <w:rPr>
          <w:rStyle w:val="normaltextrun"/>
          <w:i/>
          <w:iCs/>
        </w:rPr>
        <w:t> </w:t>
      </w:r>
      <w:r w:rsidRPr="001F1980">
        <w:rPr>
          <w:rStyle w:val="eop"/>
        </w:rPr>
        <w:t> </w:t>
      </w:r>
    </w:p>
    <w:p w14:paraId="02EB378F" w14:textId="77777777" w:rsidR="006E510A" w:rsidRPr="001F1980" w:rsidRDefault="006E510A" w:rsidP="00244B89">
      <w:pPr>
        <w:pStyle w:val="paragraph"/>
        <w:spacing w:before="0" w:beforeAutospacing="0" w:after="0" w:afterAutospacing="0"/>
        <w:ind w:left="360" w:right="-284" w:hanging="360"/>
        <w:textAlignment w:val="baseline"/>
      </w:pPr>
    </w:p>
    <w:p w14:paraId="657FD206" w14:textId="77777777" w:rsidR="006E510A" w:rsidRPr="001F1980" w:rsidRDefault="00814608" w:rsidP="00244B89">
      <w:pPr>
        <w:pStyle w:val="paragraph"/>
        <w:numPr>
          <w:ilvl w:val="0"/>
          <w:numId w:val="4"/>
        </w:numPr>
        <w:spacing w:before="0" w:beforeAutospacing="0" w:after="0" w:afterAutospacing="0"/>
        <w:ind w:left="360" w:right="-284"/>
        <w:textAlignment w:val="baseline"/>
        <w:rPr>
          <w:rStyle w:val="eop"/>
        </w:rPr>
      </w:pPr>
      <w:r w:rsidRPr="001F1980">
        <w:rPr>
          <w:rStyle w:val="normaltextrun"/>
          <w:i/>
          <w:iCs/>
        </w:rPr>
        <w:t>Digitale Plattformen</w:t>
      </w:r>
      <w:r w:rsidRPr="001F1980">
        <w:rPr>
          <w:rStyle w:val="normaltextrun"/>
        </w:rPr>
        <w:t>, in Möslein/</w:t>
      </w:r>
      <w:proofErr w:type="spellStart"/>
      <w:r w:rsidRPr="001F1980">
        <w:rPr>
          <w:rStyle w:val="normaltextrun"/>
        </w:rPr>
        <w:t>Omlor</w:t>
      </w:r>
      <w:proofErr w:type="spellEnd"/>
      <w:r w:rsidRPr="001F1980">
        <w:rPr>
          <w:rStyle w:val="normaltextrun"/>
        </w:rPr>
        <w:t>, Fintech-Handbuch, 2. Aufl. 2021, erscheint 2021 bei C.H.Beck, ca. 20 Seiten. </w:t>
      </w:r>
      <w:r w:rsidRPr="001F1980">
        <w:rPr>
          <w:rStyle w:val="eop"/>
        </w:rPr>
        <w:t> </w:t>
      </w:r>
    </w:p>
    <w:p w14:paraId="6A05A809" w14:textId="77777777" w:rsidR="006E510A" w:rsidRPr="001F1980" w:rsidRDefault="006E510A" w:rsidP="00244B89">
      <w:pPr>
        <w:pStyle w:val="paragraph"/>
        <w:spacing w:before="0" w:beforeAutospacing="0" w:after="0" w:afterAutospacing="0"/>
        <w:ind w:left="360" w:right="-284" w:hanging="360"/>
        <w:textAlignment w:val="baseline"/>
      </w:pPr>
    </w:p>
    <w:p w14:paraId="6741BDEB" w14:textId="179DC15E" w:rsidR="006E510A" w:rsidRPr="001F1980" w:rsidRDefault="00814608" w:rsidP="00244B89">
      <w:pPr>
        <w:pStyle w:val="paragraph"/>
        <w:numPr>
          <w:ilvl w:val="0"/>
          <w:numId w:val="4"/>
        </w:numPr>
        <w:spacing w:before="0" w:beforeAutospacing="0" w:after="0" w:afterAutospacing="0"/>
        <w:ind w:left="360" w:right="-284"/>
        <w:textAlignment w:val="baseline"/>
        <w:rPr>
          <w:rStyle w:val="eop"/>
        </w:rPr>
      </w:pPr>
      <w:r w:rsidRPr="001F1980">
        <w:rPr>
          <w:rStyle w:val="normaltextrun"/>
          <w:i/>
          <w:iCs/>
          <w:lang w:val="en-US"/>
        </w:rPr>
        <w:t>Crypto Assets in Russia</w:t>
      </w:r>
      <w:r w:rsidRPr="001F1980">
        <w:rPr>
          <w:rStyle w:val="normaltextrun"/>
          <w:lang w:val="en-US"/>
        </w:rPr>
        <w:t>, in </w:t>
      </w:r>
      <w:proofErr w:type="spellStart"/>
      <w:r w:rsidRPr="001F1980">
        <w:rPr>
          <w:rStyle w:val="normaltextrun"/>
          <w:lang w:val="en-US"/>
        </w:rPr>
        <w:t>Maume</w:t>
      </w:r>
      <w:proofErr w:type="spellEnd"/>
      <w:r w:rsidRPr="001F1980">
        <w:rPr>
          <w:rStyle w:val="normaltextrun"/>
          <w:lang w:val="en-US"/>
        </w:rPr>
        <w:t>/</w:t>
      </w:r>
      <w:proofErr w:type="spellStart"/>
      <w:r w:rsidRPr="001F1980">
        <w:rPr>
          <w:rStyle w:val="normaltextrun"/>
          <w:lang w:val="en-US"/>
        </w:rPr>
        <w:t>Maute</w:t>
      </w:r>
      <w:proofErr w:type="spellEnd"/>
      <w:r w:rsidRPr="001F1980">
        <w:rPr>
          <w:rStyle w:val="normaltextrun"/>
          <w:lang w:val="en-US"/>
        </w:rPr>
        <w:t>, The Law of Crypto Assets, </w:t>
      </w:r>
      <w:r w:rsidRPr="001F1980">
        <w:rPr>
          <w:rStyle w:val="normaltextrun"/>
        </w:rPr>
        <w:t>erscheint 2021 bei C.</w:t>
      </w:r>
      <w:proofErr w:type="gramStart"/>
      <w:r w:rsidRPr="001F1980">
        <w:rPr>
          <w:rStyle w:val="normaltextrun"/>
        </w:rPr>
        <w:t>H.Beck</w:t>
      </w:r>
      <w:proofErr w:type="gramEnd"/>
      <w:r w:rsidRPr="001F1980">
        <w:rPr>
          <w:rStyle w:val="normaltextrun"/>
        </w:rPr>
        <w:t xml:space="preserve">, ca. </w:t>
      </w:r>
      <w:r w:rsidR="006B1EB2" w:rsidRPr="001F1980">
        <w:rPr>
          <w:rStyle w:val="normaltextrun"/>
        </w:rPr>
        <w:t>15</w:t>
      </w:r>
      <w:r w:rsidRPr="001F1980">
        <w:rPr>
          <w:rStyle w:val="normaltextrun"/>
        </w:rPr>
        <w:t xml:space="preserve"> Seiten. </w:t>
      </w:r>
      <w:r w:rsidRPr="001F1980">
        <w:rPr>
          <w:rStyle w:val="eop"/>
        </w:rPr>
        <w:t> </w:t>
      </w:r>
    </w:p>
    <w:p w14:paraId="5A39BBE3" w14:textId="77777777" w:rsidR="006E510A" w:rsidRPr="001F1980" w:rsidRDefault="006E510A" w:rsidP="00244B89">
      <w:pPr>
        <w:pStyle w:val="paragraph"/>
        <w:spacing w:before="0" w:beforeAutospacing="0" w:after="0" w:afterAutospacing="0"/>
        <w:ind w:left="360" w:right="-284" w:hanging="360"/>
        <w:textAlignment w:val="baseline"/>
        <w:rPr>
          <w:rStyle w:val="eop"/>
        </w:rPr>
      </w:pPr>
    </w:p>
    <w:p w14:paraId="00793EC5" w14:textId="77777777" w:rsidR="006E510A" w:rsidRPr="001F1980" w:rsidRDefault="3C08FA36" w:rsidP="3C08FA36">
      <w:pPr>
        <w:pStyle w:val="paragraph"/>
        <w:numPr>
          <w:ilvl w:val="0"/>
          <w:numId w:val="4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i/>
          <w:iCs/>
        </w:rPr>
        <w:t>Kommerzielle Kommunikation</w:t>
      </w:r>
      <w:r w:rsidRPr="001F1980">
        <w:t xml:space="preserve">, in Steinrötter, Handbuch zum Digital Services Act, erscheint 2021, bei Nomos. </w:t>
      </w:r>
    </w:p>
    <w:p w14:paraId="40999300" w14:textId="7174AC40" w:rsidR="3C08FA36" w:rsidRPr="001F1980" w:rsidRDefault="3C08FA36" w:rsidP="3C08FA36">
      <w:pPr>
        <w:pStyle w:val="paragraph"/>
        <w:spacing w:before="0" w:beforeAutospacing="0" w:after="0" w:afterAutospacing="0"/>
        <w:ind w:right="-284"/>
      </w:pPr>
    </w:p>
    <w:p w14:paraId="13B35BDE" w14:textId="622BA1C9" w:rsidR="3C08FA36" w:rsidRPr="001F1980" w:rsidRDefault="3C08FA36" w:rsidP="3C08FA36">
      <w:pPr>
        <w:pStyle w:val="paragraph"/>
        <w:numPr>
          <w:ilvl w:val="0"/>
          <w:numId w:val="4"/>
        </w:numPr>
        <w:spacing w:before="0" w:beforeAutospacing="0" w:after="0" w:afterAutospacing="0"/>
        <w:ind w:left="360" w:right="-284"/>
      </w:pPr>
      <w:r w:rsidRPr="001F1980">
        <w:rPr>
          <w:i/>
          <w:iCs/>
        </w:rPr>
        <w:t>§ 112</w:t>
      </w:r>
      <w:r w:rsidRPr="001F1980">
        <w:t xml:space="preserve"> (</w:t>
      </w:r>
      <w:r w:rsidRPr="001F1980">
        <w:rPr>
          <w:i/>
          <w:iCs/>
        </w:rPr>
        <w:t>Emissionsgeschäft</w:t>
      </w:r>
      <w:r w:rsidRPr="001F1980">
        <w:t xml:space="preserve">), in Schimansky/Bunte/Lwowski, Bankrechts-Handbuch, 6. Aufl. 2021; Zweitautor mit Prof. Dr. Dr. Stefan Grundmann, Humboldt-Universität zu Berlin. </w:t>
      </w:r>
    </w:p>
    <w:p w14:paraId="15AA318D" w14:textId="77777777" w:rsidR="00814608" w:rsidRPr="001F1980" w:rsidRDefault="00814608" w:rsidP="00244B89">
      <w:pPr>
        <w:pStyle w:val="paragraph"/>
        <w:spacing w:before="0" w:beforeAutospacing="0" w:after="0" w:afterAutospacing="0"/>
        <w:ind w:left="720" w:right="-284"/>
        <w:textAlignment w:val="baseline"/>
      </w:pPr>
      <w:r w:rsidRPr="001F1980">
        <w:rPr>
          <w:rStyle w:val="eop"/>
        </w:rPr>
        <w:t> </w:t>
      </w:r>
    </w:p>
    <w:p w14:paraId="01512BE8" w14:textId="77777777" w:rsidR="00814608" w:rsidRPr="001F1980" w:rsidRDefault="00814608" w:rsidP="00244B89">
      <w:pPr>
        <w:pStyle w:val="paragraph"/>
        <w:spacing w:before="0" w:beforeAutospacing="0" w:after="0" w:afterAutospacing="0"/>
        <w:ind w:right="-284"/>
        <w:textAlignment w:val="baseline"/>
      </w:pPr>
      <w:r w:rsidRPr="001F1980">
        <w:rPr>
          <w:rStyle w:val="eop"/>
        </w:rPr>
        <w:t> </w:t>
      </w:r>
    </w:p>
    <w:p w14:paraId="6F14D2E8" w14:textId="77777777" w:rsidR="00814608" w:rsidRPr="001F1980" w:rsidRDefault="00814608" w:rsidP="00244B89">
      <w:pPr>
        <w:pStyle w:val="paragraph"/>
        <w:spacing w:before="0" w:beforeAutospacing="0" w:after="0" w:afterAutospacing="0"/>
        <w:ind w:right="-284"/>
        <w:textAlignment w:val="baseline"/>
        <w:rPr>
          <w:rStyle w:val="eop"/>
        </w:rPr>
      </w:pPr>
      <w:r w:rsidRPr="001F1980">
        <w:rPr>
          <w:rStyle w:val="normaltextrun"/>
          <w:b/>
          <w:bCs/>
        </w:rPr>
        <w:t>Öffentliches Gutachten</w:t>
      </w:r>
      <w:r w:rsidRPr="001F1980">
        <w:rPr>
          <w:rStyle w:val="eop"/>
        </w:rPr>
        <w:t> </w:t>
      </w:r>
    </w:p>
    <w:p w14:paraId="41C8F396" w14:textId="77777777" w:rsidR="00492E93" w:rsidRPr="001F1980" w:rsidRDefault="00492E93" w:rsidP="00244B89">
      <w:pPr>
        <w:pStyle w:val="paragraph"/>
        <w:spacing w:before="0" w:beforeAutospacing="0" w:after="0" w:afterAutospacing="0"/>
        <w:ind w:right="-284"/>
        <w:textAlignment w:val="baseline"/>
      </w:pPr>
    </w:p>
    <w:p w14:paraId="36D6896D" w14:textId="77777777" w:rsidR="00814608" w:rsidRPr="001F1980" w:rsidRDefault="00814608" w:rsidP="00244B89">
      <w:pPr>
        <w:pStyle w:val="paragraph"/>
        <w:spacing w:before="0" w:beforeAutospacing="0" w:after="0" w:afterAutospacing="0"/>
        <w:ind w:right="-284"/>
        <w:jc w:val="both"/>
        <w:textAlignment w:val="baseline"/>
      </w:pPr>
      <w:r w:rsidRPr="001F1980">
        <w:rPr>
          <w:rStyle w:val="normaltextrun"/>
        </w:rPr>
        <w:t>Im Auftrag des BMJV, im Rahmen der Blockchain</w:t>
      </w:r>
      <w:r w:rsidR="00492E93" w:rsidRPr="001F1980">
        <w:rPr>
          <w:rStyle w:val="normaltextrun"/>
        </w:rPr>
        <w:t>-S</w:t>
      </w:r>
      <w:r w:rsidRPr="001F1980">
        <w:rPr>
          <w:rStyle w:val="normaltextrun"/>
        </w:rPr>
        <w:t>trategie der Bundesregierung: </w:t>
      </w:r>
      <w:r w:rsidRPr="001F1980">
        <w:rPr>
          <w:rStyle w:val="normaltextrun"/>
          <w:i/>
          <w:iCs/>
        </w:rPr>
        <w:t>Blockchain</w:t>
      </w:r>
      <w:r w:rsidR="00492E93" w:rsidRPr="001F1980">
        <w:rPr>
          <w:rStyle w:val="normaltextrun"/>
          <w:i/>
          <w:iCs/>
        </w:rPr>
        <w:t>-A</w:t>
      </w:r>
      <w:r w:rsidRPr="001F1980">
        <w:rPr>
          <w:rStyle w:val="normaltextrun"/>
          <w:i/>
          <w:iCs/>
        </w:rPr>
        <w:t>nwendungen im Gesellschaftsrecht</w:t>
      </w:r>
      <w:r w:rsidRPr="001F1980">
        <w:rPr>
          <w:rStyle w:val="normaltextrun"/>
        </w:rPr>
        <w:t>, gemeinsam mit Prof. Dr. Philipp </w:t>
      </w:r>
      <w:proofErr w:type="spellStart"/>
      <w:r w:rsidRPr="001F1980">
        <w:rPr>
          <w:rStyle w:val="normaltextrun"/>
        </w:rPr>
        <w:t>Maume</w:t>
      </w:r>
      <w:proofErr w:type="spellEnd"/>
      <w:r w:rsidRPr="001F1980">
        <w:rPr>
          <w:rStyle w:val="normaltextrun"/>
        </w:rPr>
        <w:t>, Prof. Dr. Sebastian </w:t>
      </w:r>
      <w:proofErr w:type="spellStart"/>
      <w:r w:rsidRPr="001F1980">
        <w:rPr>
          <w:rStyle w:val="normaltextrun"/>
        </w:rPr>
        <w:t>Steinhorst</w:t>
      </w:r>
      <w:proofErr w:type="spellEnd"/>
      <w:r w:rsidRPr="001F1980">
        <w:rPr>
          <w:rStyle w:val="normaltextrun"/>
        </w:rPr>
        <w:t>, Mathias </w:t>
      </w:r>
      <w:proofErr w:type="spellStart"/>
      <w:r w:rsidRPr="001F1980">
        <w:rPr>
          <w:rStyle w:val="normaltextrun"/>
        </w:rPr>
        <w:t>Fromberger</w:t>
      </w:r>
      <w:proofErr w:type="spellEnd"/>
      <w:r w:rsidRPr="001F1980">
        <w:rPr>
          <w:rStyle w:val="normaltextrun"/>
        </w:rPr>
        <w:t> (alle Technische Universität München) und Dr. Markus </w:t>
      </w:r>
      <w:proofErr w:type="spellStart"/>
      <w:r w:rsidRPr="001F1980">
        <w:rPr>
          <w:rStyle w:val="normaltextrun"/>
        </w:rPr>
        <w:t>Kaulartz</w:t>
      </w:r>
      <w:proofErr w:type="spellEnd"/>
      <w:r w:rsidRPr="001F1980">
        <w:rPr>
          <w:rStyle w:val="normaltextrun"/>
        </w:rPr>
        <w:t>, CMS München, erscheint 2021. </w:t>
      </w:r>
      <w:r w:rsidRPr="001F1980">
        <w:rPr>
          <w:rStyle w:val="eop"/>
        </w:rPr>
        <w:t> </w:t>
      </w:r>
    </w:p>
    <w:p w14:paraId="0DA70637" w14:textId="77777777" w:rsidR="00814608" w:rsidRPr="001F1980" w:rsidRDefault="00814608" w:rsidP="00244B89">
      <w:pPr>
        <w:pStyle w:val="paragraph"/>
        <w:spacing w:before="0" w:beforeAutospacing="0" w:after="0" w:afterAutospacing="0"/>
        <w:ind w:left="705" w:right="-284"/>
        <w:jc w:val="both"/>
        <w:textAlignment w:val="baseline"/>
        <w:rPr>
          <w:rStyle w:val="eop"/>
        </w:rPr>
      </w:pPr>
      <w:r w:rsidRPr="001F1980">
        <w:rPr>
          <w:rStyle w:val="eop"/>
        </w:rPr>
        <w:t> </w:t>
      </w:r>
    </w:p>
    <w:p w14:paraId="72A3D3EC" w14:textId="77777777" w:rsidR="00492E93" w:rsidRPr="001F1980" w:rsidRDefault="00492E93" w:rsidP="00244B89">
      <w:pPr>
        <w:pStyle w:val="paragraph"/>
        <w:spacing w:before="0" w:beforeAutospacing="0" w:after="0" w:afterAutospacing="0"/>
        <w:ind w:left="705" w:right="-284"/>
        <w:jc w:val="both"/>
        <w:textAlignment w:val="baseline"/>
      </w:pPr>
    </w:p>
    <w:p w14:paraId="1A78DF98" w14:textId="77777777" w:rsidR="00814608" w:rsidRPr="001F1980" w:rsidRDefault="00814608" w:rsidP="00244B89">
      <w:pPr>
        <w:pStyle w:val="paragraph"/>
        <w:spacing w:before="0" w:beforeAutospacing="0" w:after="0" w:afterAutospacing="0"/>
        <w:ind w:right="-284"/>
        <w:textAlignment w:val="baseline"/>
        <w:rPr>
          <w:rStyle w:val="eop"/>
        </w:rPr>
      </w:pPr>
      <w:r w:rsidRPr="001F1980">
        <w:rPr>
          <w:rStyle w:val="normaltextrun"/>
          <w:b/>
          <w:bCs/>
        </w:rPr>
        <w:t>Aufsätze</w:t>
      </w:r>
      <w:r w:rsidRPr="001F1980">
        <w:rPr>
          <w:rStyle w:val="eop"/>
        </w:rPr>
        <w:t> </w:t>
      </w:r>
    </w:p>
    <w:p w14:paraId="0D0B940D" w14:textId="77777777" w:rsidR="00492E93" w:rsidRPr="001F1980" w:rsidRDefault="00492E93" w:rsidP="00244B89">
      <w:pPr>
        <w:pStyle w:val="paragraph"/>
        <w:spacing w:before="0" w:beforeAutospacing="0" w:after="0" w:afterAutospacing="0"/>
        <w:ind w:right="-284"/>
        <w:textAlignment w:val="baseline"/>
      </w:pPr>
    </w:p>
    <w:p w14:paraId="0B932840" w14:textId="77777777" w:rsidR="00814608" w:rsidRPr="001F1980" w:rsidRDefault="00814608" w:rsidP="00244B89">
      <w:pPr>
        <w:pStyle w:val="paragraph"/>
        <w:numPr>
          <w:ilvl w:val="0"/>
          <w:numId w:val="9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Entwicklungen des Betrugs im Bereich unternehmerischer Tätigkeit in Russland,</w:t>
      </w:r>
      <w:r w:rsidRPr="001F1980">
        <w:rPr>
          <w:rStyle w:val="normaltextrun"/>
        </w:rPr>
        <w:t> Wirtschaft und Recht in Osteuropa 2017, 8-13.</w:t>
      </w:r>
      <w:r w:rsidRPr="001F1980">
        <w:rPr>
          <w:rStyle w:val="eop"/>
        </w:rPr>
        <w:t> </w:t>
      </w:r>
    </w:p>
    <w:p w14:paraId="46624170" w14:textId="77777777" w:rsidR="00814608" w:rsidRPr="001F1980" w:rsidRDefault="00814608" w:rsidP="00244B89">
      <w:pPr>
        <w:pStyle w:val="paragraph"/>
        <w:spacing w:before="0" w:beforeAutospacing="0" w:after="0" w:afterAutospacing="0"/>
        <w:ind w:left="720" w:right="-284" w:hanging="360"/>
        <w:textAlignment w:val="baseline"/>
      </w:pPr>
      <w:r w:rsidRPr="001F1980">
        <w:rPr>
          <w:rStyle w:val="eop"/>
        </w:rPr>
        <w:t> </w:t>
      </w:r>
    </w:p>
    <w:p w14:paraId="28AAE150" w14:textId="77777777" w:rsidR="00814608" w:rsidRPr="001F1980" w:rsidRDefault="00814608" w:rsidP="00244B89">
      <w:pPr>
        <w:pStyle w:val="paragraph"/>
        <w:numPr>
          <w:ilvl w:val="0"/>
          <w:numId w:val="10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Deliktische Haftung für Künstliche Intelligenz</w:t>
      </w:r>
      <w:r w:rsidRPr="001F1980">
        <w:rPr>
          <w:rStyle w:val="normaltextrun"/>
        </w:rPr>
        <w:t>, CR 2018, 69-78.</w:t>
      </w:r>
      <w:r w:rsidRPr="001F1980">
        <w:rPr>
          <w:rStyle w:val="eop"/>
        </w:rPr>
        <w:t> </w:t>
      </w:r>
    </w:p>
    <w:p w14:paraId="4B8484D5" w14:textId="77777777" w:rsidR="00814608" w:rsidRPr="001F1980" w:rsidRDefault="00814608" w:rsidP="00244B89">
      <w:pPr>
        <w:pStyle w:val="paragraph"/>
        <w:spacing w:before="0" w:beforeAutospacing="0" w:after="0" w:afterAutospacing="0"/>
        <w:ind w:left="720" w:right="-284" w:hanging="360"/>
        <w:textAlignment w:val="baseline"/>
      </w:pPr>
      <w:r w:rsidRPr="001F1980">
        <w:rPr>
          <w:rStyle w:val="eop"/>
        </w:rPr>
        <w:lastRenderedPageBreak/>
        <w:t> </w:t>
      </w:r>
    </w:p>
    <w:p w14:paraId="64014E6B" w14:textId="77777777" w:rsidR="00814608" w:rsidRPr="001F1980" w:rsidRDefault="00814608" w:rsidP="00244B89">
      <w:pPr>
        <w:pStyle w:val="paragraph"/>
        <w:numPr>
          <w:ilvl w:val="0"/>
          <w:numId w:val="11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Gemengelage privaten Datenrechts</w:t>
      </w:r>
      <w:r w:rsidRPr="001F1980">
        <w:rPr>
          <w:rStyle w:val="normaltextrun"/>
        </w:rPr>
        <w:t>, NJW 2018, 1371-1376.</w:t>
      </w:r>
      <w:r w:rsidRPr="001F1980">
        <w:rPr>
          <w:rStyle w:val="eop"/>
        </w:rPr>
        <w:t> </w:t>
      </w:r>
    </w:p>
    <w:p w14:paraId="4F8F56C0" w14:textId="77777777" w:rsidR="00814608" w:rsidRPr="001F1980" w:rsidRDefault="00814608" w:rsidP="00244B89">
      <w:pPr>
        <w:pStyle w:val="paragraph"/>
        <w:spacing w:before="0" w:beforeAutospacing="0" w:after="0" w:afterAutospacing="0"/>
        <w:ind w:left="720" w:right="-284" w:hanging="360"/>
        <w:textAlignment w:val="baseline"/>
      </w:pPr>
      <w:r w:rsidRPr="001F1980">
        <w:rPr>
          <w:rStyle w:val="eop"/>
        </w:rPr>
        <w:t> </w:t>
      </w:r>
    </w:p>
    <w:p w14:paraId="132E2E2C" w14:textId="77777777" w:rsidR="00814608" w:rsidRPr="001F1980" w:rsidRDefault="00814608" w:rsidP="00244B89">
      <w:pPr>
        <w:pStyle w:val="paragraph"/>
        <w:numPr>
          <w:ilvl w:val="0"/>
          <w:numId w:val="12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Das polnische Gesetz über Verantwortung für den Holocaust</w:t>
      </w:r>
      <w:r w:rsidRPr="001F1980">
        <w:rPr>
          <w:rStyle w:val="normaltextrun"/>
        </w:rPr>
        <w:t>, DPJZ 2/2018, 12-18. </w:t>
      </w:r>
      <w:r w:rsidRPr="001F1980">
        <w:rPr>
          <w:rStyle w:val="eop"/>
        </w:rPr>
        <w:t> </w:t>
      </w:r>
    </w:p>
    <w:p w14:paraId="649CC1FA" w14:textId="77777777" w:rsidR="00814608" w:rsidRPr="001F1980" w:rsidRDefault="00814608" w:rsidP="00244B89">
      <w:pPr>
        <w:pStyle w:val="paragraph"/>
        <w:spacing w:before="0" w:beforeAutospacing="0" w:after="0" w:afterAutospacing="0"/>
        <w:ind w:left="720" w:right="-284" w:hanging="360"/>
        <w:textAlignment w:val="baseline"/>
      </w:pPr>
      <w:r w:rsidRPr="001F1980">
        <w:rPr>
          <w:rStyle w:val="eop"/>
        </w:rPr>
        <w:t> </w:t>
      </w:r>
    </w:p>
    <w:p w14:paraId="15069F17" w14:textId="77777777" w:rsidR="00814608" w:rsidRPr="001F1980" w:rsidRDefault="00814608" w:rsidP="00244B89">
      <w:pPr>
        <w:pStyle w:val="paragraph"/>
        <w:numPr>
          <w:ilvl w:val="0"/>
          <w:numId w:val="13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Zivilrechtsakzessorietät der Vermögensdelikte</w:t>
      </w:r>
      <w:r w:rsidRPr="001F1980">
        <w:rPr>
          <w:rStyle w:val="normaltextrun"/>
        </w:rPr>
        <w:t>, JA 2018, 833-837.</w:t>
      </w:r>
      <w:r w:rsidRPr="001F1980">
        <w:rPr>
          <w:rStyle w:val="eop"/>
        </w:rPr>
        <w:t> </w:t>
      </w:r>
    </w:p>
    <w:p w14:paraId="10EF996B" w14:textId="77777777" w:rsidR="00814608" w:rsidRPr="001F1980" w:rsidRDefault="00814608" w:rsidP="00244B89">
      <w:pPr>
        <w:pStyle w:val="paragraph"/>
        <w:spacing w:before="0" w:beforeAutospacing="0" w:after="0" w:afterAutospacing="0"/>
        <w:ind w:left="720" w:right="-284" w:hanging="360"/>
        <w:textAlignment w:val="baseline"/>
      </w:pPr>
      <w:r w:rsidRPr="001F1980">
        <w:rPr>
          <w:rStyle w:val="eop"/>
        </w:rPr>
        <w:t> </w:t>
      </w:r>
    </w:p>
    <w:p w14:paraId="0F64B296" w14:textId="77777777" w:rsidR="00814608" w:rsidRPr="001F1980" w:rsidRDefault="00814608" w:rsidP="00244B89">
      <w:pPr>
        <w:pStyle w:val="paragraph"/>
        <w:numPr>
          <w:ilvl w:val="0"/>
          <w:numId w:val="14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Referendarexamensklausur – Europarecht: Verfassungsrecht und Gesellschaftsrecht – Umwandlung in Europa, </w:t>
      </w:r>
      <w:proofErr w:type="spellStart"/>
      <w:r w:rsidRPr="001F1980">
        <w:rPr>
          <w:rStyle w:val="normaltextrun"/>
        </w:rPr>
        <w:t>JuS</w:t>
      </w:r>
      <w:proofErr w:type="spellEnd"/>
      <w:r w:rsidRPr="001F1980">
        <w:rPr>
          <w:rStyle w:val="normaltextrun"/>
        </w:rPr>
        <w:t> 2020, 247-254. </w:t>
      </w:r>
      <w:r w:rsidRPr="001F1980">
        <w:rPr>
          <w:rStyle w:val="eop"/>
        </w:rPr>
        <w:t> </w:t>
      </w:r>
    </w:p>
    <w:p w14:paraId="5E3886A4" w14:textId="77777777" w:rsidR="00814608" w:rsidRPr="001F1980" w:rsidRDefault="00814608" w:rsidP="00244B89">
      <w:pPr>
        <w:pStyle w:val="paragraph"/>
        <w:spacing w:before="0" w:beforeAutospacing="0" w:after="0" w:afterAutospacing="0"/>
        <w:ind w:left="720" w:right="-284" w:hanging="360"/>
        <w:textAlignment w:val="baseline"/>
      </w:pPr>
      <w:r w:rsidRPr="001F1980">
        <w:rPr>
          <w:rStyle w:val="eop"/>
        </w:rPr>
        <w:t> </w:t>
      </w:r>
    </w:p>
    <w:p w14:paraId="0EA075DF" w14:textId="54D9E6F8" w:rsidR="00A4232D" w:rsidRPr="001F1980" w:rsidRDefault="00814608" w:rsidP="00244B89">
      <w:pPr>
        <w:pStyle w:val="paragraph"/>
        <w:numPr>
          <w:ilvl w:val="0"/>
          <w:numId w:val="15"/>
        </w:numPr>
        <w:spacing w:before="0" w:beforeAutospacing="0" w:after="0" w:afterAutospacing="0"/>
        <w:ind w:left="360" w:right="-284"/>
        <w:textAlignment w:val="baseline"/>
        <w:rPr>
          <w:rStyle w:val="eop"/>
        </w:rPr>
      </w:pPr>
      <w:r w:rsidRPr="001F1980">
        <w:rPr>
          <w:rStyle w:val="normaltextrun"/>
          <w:i/>
          <w:iCs/>
        </w:rPr>
        <w:t>Genossenschaften in der digitalen Plattformökonomie. Selbstverantwortung als Mittel europäischer </w:t>
      </w:r>
      <w:proofErr w:type="gramStart"/>
      <w:r w:rsidRPr="001F1980">
        <w:rPr>
          <w:rStyle w:val="normaltextrun"/>
          <w:i/>
          <w:iCs/>
        </w:rPr>
        <w:t>Plattformregulierung?</w:t>
      </w:r>
      <w:r w:rsidR="00A4232D" w:rsidRPr="001F1980">
        <w:rPr>
          <w:rStyle w:val="normaltextrun"/>
          <w:i/>
          <w:iCs/>
        </w:rPr>
        <w:t>,</w:t>
      </w:r>
      <w:proofErr w:type="gramEnd"/>
      <w:r w:rsidRPr="001F1980">
        <w:rPr>
          <w:rStyle w:val="normaltextrun"/>
        </w:rPr>
        <w:t> ZGE 12 (2020), 1-41. </w:t>
      </w:r>
      <w:r w:rsidRPr="001F1980">
        <w:rPr>
          <w:rStyle w:val="eop"/>
        </w:rPr>
        <w:t> </w:t>
      </w:r>
    </w:p>
    <w:p w14:paraId="467E89C4" w14:textId="77777777" w:rsidR="00A4232D" w:rsidRPr="001F1980" w:rsidRDefault="00A4232D" w:rsidP="00244B89">
      <w:pPr>
        <w:pStyle w:val="paragraph"/>
        <w:spacing w:before="0" w:beforeAutospacing="0" w:after="0" w:afterAutospacing="0"/>
        <w:ind w:left="360" w:right="-284" w:hanging="360"/>
        <w:textAlignment w:val="baseline"/>
      </w:pPr>
    </w:p>
    <w:p w14:paraId="506F978D" w14:textId="21ECA5C7" w:rsidR="00A4232D" w:rsidRPr="001F1980" w:rsidRDefault="00814608" w:rsidP="00244B89">
      <w:pPr>
        <w:pStyle w:val="paragraph"/>
        <w:numPr>
          <w:ilvl w:val="0"/>
          <w:numId w:val="15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Zurechnung im Unternehmensrecht. Europäische Systembildung und Autonomiebezug statt Prinzipienchaos und Rechtsp</w:t>
      </w:r>
      <w:r w:rsidR="00A4232D" w:rsidRPr="001F1980">
        <w:rPr>
          <w:rStyle w:val="normaltextrun"/>
          <w:i/>
          <w:iCs/>
        </w:rPr>
        <w:t>olitik?</w:t>
      </w:r>
      <w:r w:rsidR="00A4232D" w:rsidRPr="001F1980">
        <w:rPr>
          <w:rStyle w:val="normaltextrun"/>
        </w:rPr>
        <w:t xml:space="preserve"> ZIP 2020, 945-953.</w:t>
      </w:r>
      <w:r w:rsidR="00A4232D" w:rsidRPr="001F1980">
        <w:rPr>
          <w:rStyle w:val="eop"/>
        </w:rPr>
        <w:t> </w:t>
      </w:r>
    </w:p>
    <w:p w14:paraId="0D8BF348" w14:textId="4B8F6286" w:rsidR="00814608" w:rsidRPr="001F1980" w:rsidRDefault="00814608" w:rsidP="00244B89">
      <w:pPr>
        <w:pStyle w:val="paragraph"/>
        <w:spacing w:before="0" w:beforeAutospacing="0" w:after="0" w:afterAutospacing="0"/>
        <w:ind w:right="-284" w:hanging="360"/>
        <w:textAlignment w:val="baseline"/>
      </w:pPr>
      <w:r w:rsidRPr="001F1980">
        <w:rPr>
          <w:rStyle w:val="eop"/>
        </w:rPr>
        <w:t> </w:t>
      </w:r>
    </w:p>
    <w:p w14:paraId="63AE49B1" w14:textId="773B7B2F" w:rsidR="00814608" w:rsidRPr="001F1980" w:rsidRDefault="0777FAF2" w:rsidP="00244B89">
      <w:pPr>
        <w:pStyle w:val="paragraph"/>
        <w:numPr>
          <w:ilvl w:val="0"/>
          <w:numId w:val="17"/>
        </w:numPr>
        <w:spacing w:before="0" w:beforeAutospacing="0" w:after="0" w:afterAutospacing="0"/>
        <w:ind w:left="360" w:right="-284"/>
        <w:textAlignment w:val="baseline"/>
        <w:rPr>
          <w:rStyle w:val="normaltextrun"/>
          <w:rFonts w:eastAsiaTheme="minorEastAsia"/>
          <w:i/>
          <w:iCs/>
        </w:rPr>
      </w:pPr>
      <w:r w:rsidRPr="001F1980">
        <w:rPr>
          <w:rStyle w:val="normaltextrun"/>
          <w:i/>
          <w:iCs/>
        </w:rPr>
        <w:t>Zahlungsabwicklung durch digitale Handelsplattformen</w:t>
      </w:r>
      <w:r w:rsidR="000208C1" w:rsidRPr="001F1980">
        <w:rPr>
          <w:rStyle w:val="normaltextrun"/>
        </w:rPr>
        <w:t>,</w:t>
      </w:r>
      <w:r w:rsidRPr="001F1980">
        <w:rPr>
          <w:rStyle w:val="normaltextrun"/>
        </w:rPr>
        <w:t xml:space="preserve"> </w:t>
      </w:r>
      <w:proofErr w:type="spellStart"/>
      <w:r w:rsidRPr="001F1980">
        <w:rPr>
          <w:rStyle w:val="normaltextrun"/>
        </w:rPr>
        <w:t>RdZ</w:t>
      </w:r>
      <w:proofErr w:type="spellEnd"/>
      <w:r w:rsidRPr="001F1980">
        <w:rPr>
          <w:rStyle w:val="normaltextrun"/>
        </w:rPr>
        <w:t xml:space="preserve"> 2020, 156 – 164; Erstautor mit RA Henning Böttcher, Hyazinth LLP.</w:t>
      </w:r>
    </w:p>
    <w:p w14:paraId="247B8A3F" w14:textId="3E008B04" w:rsidR="00814608" w:rsidRPr="001F1980" w:rsidRDefault="00814608" w:rsidP="00244B89">
      <w:pPr>
        <w:pStyle w:val="paragraph"/>
        <w:spacing w:before="0" w:beforeAutospacing="0" w:after="0" w:afterAutospacing="0"/>
        <w:ind w:right="-284" w:hanging="360"/>
        <w:textAlignment w:val="baseline"/>
        <w:rPr>
          <w:rStyle w:val="normaltextrun"/>
          <w:i/>
          <w:iCs/>
        </w:rPr>
      </w:pPr>
    </w:p>
    <w:p w14:paraId="1E840650" w14:textId="6F51EEF1" w:rsidR="00814608" w:rsidRPr="001F1980" w:rsidRDefault="3C08FA36" w:rsidP="3C08FA36">
      <w:pPr>
        <w:pStyle w:val="paragraph"/>
        <w:numPr>
          <w:ilvl w:val="0"/>
          <w:numId w:val="17"/>
        </w:numPr>
        <w:spacing w:before="0" w:beforeAutospacing="0" w:after="0" w:afterAutospacing="0"/>
        <w:ind w:left="360" w:right="-284"/>
        <w:textAlignment w:val="baseline"/>
        <w:rPr>
          <w:rFonts w:eastAsiaTheme="minorEastAsia"/>
        </w:rPr>
      </w:pPr>
      <w:r w:rsidRPr="001F1980">
        <w:rPr>
          <w:rStyle w:val="normaltextrun"/>
          <w:i/>
          <w:iCs/>
        </w:rPr>
        <w:t>Technikregulierung durch doppelte Delegation – Bewältigungsmöglichkeiten für Staat und Private</w:t>
      </w:r>
      <w:r w:rsidRPr="001F1980">
        <w:rPr>
          <w:rStyle w:val="normaltextrun"/>
        </w:rPr>
        <w:t xml:space="preserve">, </w:t>
      </w:r>
      <w:r w:rsidR="001A173D">
        <w:rPr>
          <w:rStyle w:val="normaltextrun"/>
        </w:rPr>
        <w:t>RW 11 (2020)</w:t>
      </w:r>
      <w:r w:rsidRPr="001F1980">
        <w:rPr>
          <w:rStyle w:val="normaltextrun"/>
        </w:rPr>
        <w:t xml:space="preserve">, </w:t>
      </w:r>
      <w:r w:rsidR="001A173D">
        <w:rPr>
          <w:rStyle w:val="normaltextrun"/>
        </w:rPr>
        <w:t>421 – 450</w:t>
      </w:r>
      <w:r w:rsidRPr="001F1980">
        <w:rPr>
          <w:rStyle w:val="normaltextrun"/>
        </w:rPr>
        <w:t>; Erstautor mit Jörg Pohle und Julian Hölzel, beide Humboldt Institut für Internet und Gesellschaft, Berlin.</w:t>
      </w:r>
    </w:p>
    <w:p w14:paraId="4474F8A0" w14:textId="75A012AC" w:rsidR="00814608" w:rsidRPr="001F1980" w:rsidRDefault="0777FAF2" w:rsidP="00244B89">
      <w:pPr>
        <w:pStyle w:val="paragraph"/>
        <w:spacing w:before="0" w:beforeAutospacing="0" w:after="0" w:afterAutospacing="0"/>
        <w:ind w:left="720" w:right="-284" w:hanging="360"/>
        <w:textAlignment w:val="baseline"/>
      </w:pPr>
      <w:r w:rsidRPr="001F1980">
        <w:rPr>
          <w:rStyle w:val="eop"/>
        </w:rPr>
        <w:t> </w:t>
      </w:r>
    </w:p>
    <w:p w14:paraId="3340ECF5" w14:textId="2A9B55A6" w:rsidR="00814608" w:rsidRPr="001F1980" w:rsidRDefault="3C08FA36" w:rsidP="3C08FA36">
      <w:pPr>
        <w:pStyle w:val="paragraph"/>
        <w:numPr>
          <w:ilvl w:val="0"/>
          <w:numId w:val="19"/>
        </w:numPr>
        <w:spacing w:before="0" w:beforeAutospacing="0" w:after="0" w:afterAutospacing="0"/>
        <w:ind w:left="360" w:right="-284"/>
        <w:textAlignment w:val="baseline"/>
        <w:rPr>
          <w:rStyle w:val="eop"/>
        </w:rPr>
      </w:pPr>
      <w:r w:rsidRPr="001F1980">
        <w:rPr>
          <w:rStyle w:val="normaltextrun"/>
          <w:i/>
          <w:iCs/>
        </w:rPr>
        <w:t>Fortgeschrittenenklausur im Zivilrecht – Kaufrecht: Der getunte Tesla</w:t>
      </w:r>
      <w:r w:rsidRPr="001F1980">
        <w:rPr>
          <w:rStyle w:val="normaltextrun"/>
        </w:rPr>
        <w:t>, JURA 2020(12), 1352 - 1359. </w:t>
      </w:r>
      <w:r w:rsidRPr="001F1980">
        <w:rPr>
          <w:rStyle w:val="eop"/>
        </w:rPr>
        <w:t> </w:t>
      </w:r>
    </w:p>
    <w:p w14:paraId="3FA0B8E6" w14:textId="0EDA8852" w:rsidR="00A4232D" w:rsidRPr="001F1980" w:rsidRDefault="00A4232D" w:rsidP="00244B89">
      <w:pPr>
        <w:pStyle w:val="paragraph"/>
        <w:spacing w:before="0" w:beforeAutospacing="0" w:after="0" w:afterAutospacing="0"/>
        <w:ind w:left="360" w:right="-284" w:hanging="360"/>
        <w:textAlignment w:val="baseline"/>
        <w:rPr>
          <w:rStyle w:val="eop"/>
        </w:rPr>
      </w:pPr>
    </w:p>
    <w:p w14:paraId="28A17BDD" w14:textId="2C1E11D6" w:rsidR="00A4232D" w:rsidRPr="001F1980" w:rsidRDefault="235280CB" w:rsidP="235280CB">
      <w:pPr>
        <w:pStyle w:val="paragraph"/>
        <w:numPr>
          <w:ilvl w:val="0"/>
          <w:numId w:val="19"/>
        </w:numPr>
        <w:spacing w:before="0" w:beforeAutospacing="0" w:after="0" w:afterAutospacing="0"/>
        <w:ind w:left="360" w:right="-284"/>
        <w:textAlignment w:val="baseline"/>
        <w:rPr>
          <w:rStyle w:val="normaltextrun"/>
          <w:rFonts w:eastAsiaTheme="minorEastAsia"/>
          <w:i/>
          <w:iCs/>
        </w:rPr>
      </w:pPr>
      <w:proofErr w:type="spellStart"/>
      <w:r w:rsidRPr="001F1980">
        <w:rPr>
          <w:i/>
          <w:iCs/>
        </w:rPr>
        <w:t>Rejestr</w:t>
      </w:r>
      <w:proofErr w:type="spellEnd"/>
      <w:r w:rsidRPr="001F1980">
        <w:rPr>
          <w:i/>
          <w:iCs/>
        </w:rPr>
        <w:t xml:space="preserve"> </w:t>
      </w:r>
      <w:proofErr w:type="spellStart"/>
      <w:r w:rsidRPr="001F1980">
        <w:rPr>
          <w:i/>
          <w:iCs/>
        </w:rPr>
        <w:t>beneficjentów</w:t>
      </w:r>
      <w:proofErr w:type="spellEnd"/>
      <w:r w:rsidRPr="001F1980">
        <w:rPr>
          <w:i/>
          <w:iCs/>
        </w:rPr>
        <w:t xml:space="preserve"> </w:t>
      </w:r>
      <w:proofErr w:type="spellStart"/>
      <w:r w:rsidRPr="001F1980">
        <w:rPr>
          <w:i/>
          <w:iCs/>
        </w:rPr>
        <w:t>rzeczywistych</w:t>
      </w:r>
      <w:proofErr w:type="spellEnd"/>
      <w:r w:rsidRPr="001F1980">
        <w:rPr>
          <w:i/>
          <w:iCs/>
        </w:rPr>
        <w:t xml:space="preserve"> w </w:t>
      </w:r>
      <w:proofErr w:type="spellStart"/>
      <w:r w:rsidRPr="001F1980">
        <w:rPr>
          <w:i/>
          <w:iCs/>
        </w:rPr>
        <w:t>Polsce</w:t>
      </w:r>
      <w:proofErr w:type="spellEnd"/>
      <w:r w:rsidRPr="001F1980">
        <w:rPr>
          <w:i/>
          <w:iCs/>
        </w:rPr>
        <w:t xml:space="preserve"> i w </w:t>
      </w:r>
      <w:proofErr w:type="spellStart"/>
      <w:r w:rsidRPr="001F1980">
        <w:rPr>
          <w:i/>
          <w:iCs/>
        </w:rPr>
        <w:t>Niemczech</w:t>
      </w:r>
      <w:proofErr w:type="spellEnd"/>
      <w:r w:rsidRPr="001F1980">
        <w:rPr>
          <w:i/>
          <w:iCs/>
        </w:rPr>
        <w:t xml:space="preserve"> </w:t>
      </w:r>
      <w:r w:rsidRPr="001F1980">
        <w:t xml:space="preserve">(„Das Transparenzregister in Polen und </w:t>
      </w:r>
      <w:r w:rsidRPr="00835236">
        <w:t>Deutschland“)</w:t>
      </w:r>
      <w:r w:rsidRPr="00835236">
        <w:rPr>
          <w:i/>
          <w:iCs/>
        </w:rPr>
        <w:t xml:space="preserve">, </w:t>
      </w:r>
      <w:proofErr w:type="spellStart"/>
      <w:r w:rsidRPr="00835236">
        <w:rPr>
          <w:rStyle w:val="normaltextrun"/>
        </w:rPr>
        <w:t>Rejent</w:t>
      </w:r>
      <w:proofErr w:type="spellEnd"/>
      <w:r w:rsidRPr="00835236">
        <w:rPr>
          <w:rStyle w:val="normaltextrun"/>
        </w:rPr>
        <w:t xml:space="preserve">, </w:t>
      </w:r>
      <w:proofErr w:type="spellStart"/>
      <w:r w:rsidRPr="00835236">
        <w:rPr>
          <w:rStyle w:val="normaltextrun"/>
        </w:rPr>
        <w:t>rok</w:t>
      </w:r>
      <w:proofErr w:type="spellEnd"/>
      <w:r w:rsidRPr="00835236">
        <w:rPr>
          <w:rStyle w:val="normaltextrun"/>
        </w:rPr>
        <w:t xml:space="preserve"> 30 </w:t>
      </w:r>
      <w:proofErr w:type="spellStart"/>
      <w:r w:rsidRPr="00835236">
        <w:rPr>
          <w:rStyle w:val="normaltextrun"/>
        </w:rPr>
        <w:t>nr</w:t>
      </w:r>
      <w:proofErr w:type="spellEnd"/>
      <w:r w:rsidRPr="00835236">
        <w:rPr>
          <w:rStyle w:val="normaltextrun"/>
        </w:rPr>
        <w:t xml:space="preserve"> 12(</w:t>
      </w:r>
      <w:r w:rsidRPr="001A173D">
        <w:rPr>
          <w:rStyle w:val="normaltextrun"/>
        </w:rPr>
        <w:t>365)</w:t>
      </w:r>
      <w:r w:rsidR="00226DE8">
        <w:rPr>
          <w:rStyle w:val="normaltextrun"/>
        </w:rPr>
        <w:t xml:space="preserve"> </w:t>
      </w:r>
      <w:proofErr w:type="spellStart"/>
      <w:r w:rsidR="00226DE8">
        <w:rPr>
          <w:rStyle w:val="normaltextrun"/>
        </w:rPr>
        <w:t>gru</w:t>
      </w:r>
      <w:r w:rsidR="00226DE8" w:rsidRPr="00226DE8">
        <w:rPr>
          <w:rStyle w:val="normaltextrun"/>
        </w:rPr>
        <w:t>dzie</w:t>
      </w:r>
      <w:r w:rsidR="00226DE8" w:rsidRPr="00226DE8">
        <w:rPr>
          <w:color w:val="202122"/>
          <w:shd w:val="clear" w:color="auto" w:fill="FFFFFF"/>
        </w:rPr>
        <w:t>ń</w:t>
      </w:r>
      <w:proofErr w:type="spellEnd"/>
      <w:r w:rsidR="00226DE8" w:rsidRPr="00226DE8">
        <w:rPr>
          <w:rStyle w:val="normaltextrun"/>
        </w:rPr>
        <w:t xml:space="preserve"> </w:t>
      </w:r>
      <w:r w:rsidR="00226DE8">
        <w:rPr>
          <w:rStyle w:val="normaltextrun"/>
        </w:rPr>
        <w:t>2020 r.</w:t>
      </w:r>
      <w:r w:rsidR="00835236" w:rsidRPr="001A173D">
        <w:rPr>
          <w:rStyle w:val="normaltextrun"/>
        </w:rPr>
        <w:t xml:space="preserve">, 32 – </w:t>
      </w:r>
      <w:r w:rsidR="001A173D" w:rsidRPr="001A173D">
        <w:rPr>
          <w:rStyle w:val="normaltextrun"/>
        </w:rPr>
        <w:t>45</w:t>
      </w:r>
      <w:r w:rsidRPr="001A173D">
        <w:rPr>
          <w:rStyle w:val="normaltextrun"/>
        </w:rPr>
        <w:t>; Zweitautor</w:t>
      </w:r>
      <w:r w:rsidRPr="001F1980">
        <w:rPr>
          <w:rStyle w:val="normaltextrun"/>
        </w:rPr>
        <w:t xml:space="preserve"> mit Dr. </w:t>
      </w:r>
      <w:r w:rsidRPr="001F1980">
        <w:rPr>
          <w:lang w:val="pl-PL"/>
        </w:rPr>
        <w:t>Marcin Podleś</w:t>
      </w:r>
      <w:r w:rsidRPr="001F1980">
        <w:rPr>
          <w:rStyle w:val="normaltextrun"/>
        </w:rPr>
        <w:t xml:space="preserve">, </w:t>
      </w:r>
      <w:r w:rsidRPr="001F1980">
        <w:rPr>
          <w:lang w:val="pl-PL"/>
        </w:rPr>
        <w:t>Uniwersytet Wrocławski.</w:t>
      </w:r>
    </w:p>
    <w:p w14:paraId="5B891220" w14:textId="7D933F95" w:rsidR="00A4232D" w:rsidRPr="001F1980" w:rsidRDefault="00A4232D" w:rsidP="00244B89">
      <w:pPr>
        <w:pStyle w:val="paragraph"/>
        <w:spacing w:before="0" w:beforeAutospacing="0" w:after="0" w:afterAutospacing="0"/>
        <w:ind w:right="-284" w:hanging="360"/>
        <w:textAlignment w:val="baseline"/>
        <w:rPr>
          <w:i/>
          <w:iCs/>
        </w:rPr>
      </w:pPr>
    </w:p>
    <w:p w14:paraId="4E970583" w14:textId="233CD8C6" w:rsidR="000208C1" w:rsidRPr="00A363DE" w:rsidRDefault="55534AAA" w:rsidP="55534AAA">
      <w:pPr>
        <w:pStyle w:val="paragraph"/>
        <w:numPr>
          <w:ilvl w:val="0"/>
          <w:numId w:val="19"/>
        </w:numPr>
        <w:spacing w:before="0" w:beforeAutospacing="0" w:after="0" w:afterAutospacing="0"/>
        <w:ind w:left="360" w:right="-284"/>
        <w:textAlignment w:val="baseline"/>
        <w:rPr>
          <w:rFonts w:eastAsiaTheme="minorEastAsia"/>
          <w:i/>
          <w:iCs/>
        </w:rPr>
      </w:pPr>
      <w:r w:rsidRPr="00A363DE">
        <w:rPr>
          <w:i/>
          <w:iCs/>
        </w:rPr>
        <w:t>Zur Definition der Außen-GbR</w:t>
      </w:r>
      <w:r w:rsidRPr="00A363DE">
        <w:t xml:space="preserve">, </w:t>
      </w:r>
      <w:proofErr w:type="spellStart"/>
      <w:r w:rsidR="00A363DE">
        <w:t>ZfPW</w:t>
      </w:r>
      <w:proofErr w:type="spellEnd"/>
      <w:r w:rsidRPr="00A363DE">
        <w:t xml:space="preserve"> 2021</w:t>
      </w:r>
      <w:r w:rsidR="00A363DE">
        <w:t>,</w:t>
      </w:r>
      <w:r w:rsidRPr="00A363DE">
        <w:t xml:space="preserve"> </w:t>
      </w:r>
      <w:r w:rsidR="00A363DE" w:rsidRPr="00A363DE">
        <w:t>73-101</w:t>
      </w:r>
      <w:r w:rsidRPr="00A363DE">
        <w:t>.</w:t>
      </w:r>
    </w:p>
    <w:p w14:paraId="540DC227" w14:textId="77777777" w:rsidR="000208C1" w:rsidRPr="001F1980" w:rsidRDefault="000208C1" w:rsidP="000208C1">
      <w:pPr>
        <w:pStyle w:val="paragraph"/>
        <w:spacing w:before="0" w:beforeAutospacing="0" w:after="0" w:afterAutospacing="0"/>
        <w:ind w:left="360" w:right="-284"/>
        <w:textAlignment w:val="baseline"/>
        <w:rPr>
          <w:rFonts w:eastAsiaTheme="minorEastAsia"/>
          <w:i/>
          <w:iCs/>
        </w:rPr>
      </w:pPr>
    </w:p>
    <w:p w14:paraId="5E6F60B5" w14:textId="622B7839" w:rsidR="00492E93" w:rsidRPr="001F1980" w:rsidRDefault="185F6398" w:rsidP="185F6398">
      <w:pPr>
        <w:pStyle w:val="paragraph"/>
        <w:numPr>
          <w:ilvl w:val="0"/>
          <w:numId w:val="19"/>
        </w:numPr>
        <w:spacing w:before="0" w:beforeAutospacing="0" w:after="0" w:afterAutospacing="0"/>
        <w:ind w:left="360" w:right="-284"/>
        <w:textAlignment w:val="baseline"/>
        <w:rPr>
          <w:rStyle w:val="eop"/>
          <w:rFonts w:eastAsiaTheme="minorEastAsia"/>
          <w:i/>
          <w:iCs/>
        </w:rPr>
      </w:pPr>
      <w:r w:rsidRPr="001F1980">
        <w:rPr>
          <w:i/>
          <w:iCs/>
        </w:rPr>
        <w:t xml:space="preserve">Grundzüge der Genossenschaft, </w:t>
      </w:r>
      <w:r w:rsidRPr="001F1980">
        <w:t xml:space="preserve">erscheint </w:t>
      </w:r>
      <w:r w:rsidR="001F1980">
        <w:t xml:space="preserve">in JURA </w:t>
      </w:r>
      <w:r w:rsidRPr="001F1980">
        <w:rPr>
          <w:rStyle w:val="eop"/>
        </w:rPr>
        <w:t xml:space="preserve">2021. </w:t>
      </w:r>
    </w:p>
    <w:p w14:paraId="526F145E" w14:textId="75AA4B93" w:rsidR="3C08FA36" w:rsidRPr="001F1980" w:rsidRDefault="3C08FA36" w:rsidP="3C08FA36">
      <w:pPr>
        <w:pStyle w:val="paragraph"/>
        <w:spacing w:before="0" w:beforeAutospacing="0" w:after="0" w:afterAutospacing="0"/>
        <w:ind w:right="-284"/>
      </w:pPr>
    </w:p>
    <w:p w14:paraId="1FF6ED20" w14:textId="77777777" w:rsidR="000208C1" w:rsidRPr="001F1980" w:rsidRDefault="000208C1" w:rsidP="000208C1">
      <w:pPr>
        <w:pStyle w:val="paragraph"/>
        <w:spacing w:before="0" w:beforeAutospacing="0" w:after="0" w:afterAutospacing="0"/>
        <w:ind w:left="360" w:right="-284"/>
        <w:textAlignment w:val="baseline"/>
        <w:rPr>
          <w:rFonts w:eastAsiaTheme="minorEastAsia"/>
          <w:i/>
          <w:iCs/>
        </w:rPr>
      </w:pPr>
    </w:p>
    <w:p w14:paraId="1DF8BA61" w14:textId="77777777" w:rsidR="00814608" w:rsidRPr="001F1980" w:rsidRDefault="00814608" w:rsidP="00244B89">
      <w:pPr>
        <w:pStyle w:val="paragraph"/>
        <w:spacing w:before="0" w:beforeAutospacing="0" w:after="0" w:afterAutospacing="0"/>
        <w:ind w:right="-284"/>
        <w:textAlignment w:val="baseline"/>
      </w:pPr>
      <w:r w:rsidRPr="001F1980">
        <w:rPr>
          <w:rStyle w:val="eop"/>
        </w:rPr>
        <w:t> </w:t>
      </w:r>
    </w:p>
    <w:p w14:paraId="56F4C0F9" w14:textId="77777777" w:rsidR="00814608" w:rsidRPr="001F1980" w:rsidRDefault="00814608" w:rsidP="00244B89">
      <w:pPr>
        <w:pStyle w:val="paragraph"/>
        <w:spacing w:before="0" w:beforeAutospacing="0" w:after="0" w:afterAutospacing="0"/>
        <w:ind w:right="-284"/>
        <w:textAlignment w:val="baseline"/>
        <w:rPr>
          <w:rStyle w:val="eop"/>
        </w:rPr>
      </w:pPr>
      <w:r w:rsidRPr="001F1980">
        <w:rPr>
          <w:rStyle w:val="normaltextrun"/>
          <w:b/>
          <w:bCs/>
        </w:rPr>
        <w:t>Besprechungen, Kurzbeiträge</w:t>
      </w:r>
      <w:r w:rsidRPr="001F1980">
        <w:rPr>
          <w:rStyle w:val="eop"/>
        </w:rPr>
        <w:t> </w:t>
      </w:r>
    </w:p>
    <w:p w14:paraId="60061E4C" w14:textId="77777777" w:rsidR="00492E93" w:rsidRPr="001F1980" w:rsidRDefault="00492E93" w:rsidP="00244B89">
      <w:pPr>
        <w:pStyle w:val="paragraph"/>
        <w:spacing w:before="0" w:beforeAutospacing="0" w:after="0" w:afterAutospacing="0"/>
        <w:ind w:right="-284"/>
        <w:textAlignment w:val="baseline"/>
      </w:pPr>
    </w:p>
    <w:p w14:paraId="2B2A6279" w14:textId="77777777" w:rsidR="00814608" w:rsidRPr="001F1980" w:rsidRDefault="00814608" w:rsidP="00244B89">
      <w:pPr>
        <w:pStyle w:val="paragraph"/>
        <w:numPr>
          <w:ilvl w:val="0"/>
          <w:numId w:val="22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Auslieferungsvorbehalt bei Unterlassungsdelikten ohne materiellen Inlandsbezug? – Zugleich Anmerkung zu BVerfG (2. Kammer des Zweiten Senats), Beschl. v. 09.11.2016 – 2 BvR 545/16, </w:t>
      </w:r>
      <w:r w:rsidRPr="001F1980">
        <w:rPr>
          <w:rStyle w:val="normaltextrun"/>
        </w:rPr>
        <w:t>StV 2018, 609-615.</w:t>
      </w:r>
      <w:r w:rsidRPr="001F1980">
        <w:rPr>
          <w:rStyle w:val="eop"/>
        </w:rPr>
        <w:t> </w:t>
      </w:r>
    </w:p>
    <w:p w14:paraId="365DB198" w14:textId="77777777" w:rsidR="00814608" w:rsidRPr="001F1980" w:rsidRDefault="00814608" w:rsidP="00244B89">
      <w:pPr>
        <w:pStyle w:val="paragraph"/>
        <w:spacing w:before="0" w:beforeAutospacing="0" w:after="0" w:afterAutospacing="0"/>
        <w:ind w:left="720" w:right="-284" w:hanging="360"/>
        <w:textAlignment w:val="baseline"/>
      </w:pPr>
      <w:r w:rsidRPr="001F1980">
        <w:rPr>
          <w:rStyle w:val="eop"/>
        </w:rPr>
        <w:t> </w:t>
      </w:r>
    </w:p>
    <w:p w14:paraId="5BC39AF5" w14:textId="77777777" w:rsidR="00814608" w:rsidRPr="001F1980" w:rsidRDefault="00814608" w:rsidP="00244B89">
      <w:pPr>
        <w:pStyle w:val="paragraph"/>
        <w:numPr>
          <w:ilvl w:val="0"/>
          <w:numId w:val="23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</w:rPr>
        <w:t>Paul Rhode, Reformbedarf für eine effizienzorientierte kollektive Wahrnehmung von Online-Rechten an Musikwerken, 2019,</w:t>
      </w:r>
      <w:r w:rsidRPr="001F1980">
        <w:rPr>
          <w:rStyle w:val="normaltextrun"/>
        </w:rPr>
        <w:t> ZGE 12 (2020), 117-122. </w:t>
      </w:r>
      <w:r w:rsidRPr="001F1980">
        <w:rPr>
          <w:rStyle w:val="eop"/>
        </w:rPr>
        <w:t> </w:t>
      </w:r>
    </w:p>
    <w:p w14:paraId="1D5BCD6B" w14:textId="77777777" w:rsidR="00814608" w:rsidRPr="001F1980" w:rsidRDefault="00814608" w:rsidP="00244B89">
      <w:pPr>
        <w:pStyle w:val="paragraph"/>
        <w:spacing w:before="0" w:beforeAutospacing="0" w:after="0" w:afterAutospacing="0"/>
        <w:ind w:left="720" w:right="-284" w:hanging="360"/>
        <w:textAlignment w:val="baseline"/>
      </w:pPr>
      <w:r w:rsidRPr="001F1980">
        <w:rPr>
          <w:rStyle w:val="eop"/>
        </w:rPr>
        <w:t> </w:t>
      </w:r>
    </w:p>
    <w:p w14:paraId="2AE25786" w14:textId="77777777" w:rsidR="00814608" w:rsidRPr="001F1980" w:rsidRDefault="00814608" w:rsidP="00244B89">
      <w:pPr>
        <w:pStyle w:val="paragraph"/>
        <w:numPr>
          <w:ilvl w:val="0"/>
          <w:numId w:val="24"/>
        </w:numPr>
        <w:spacing w:before="0" w:beforeAutospacing="0" w:after="0" w:afterAutospacing="0"/>
        <w:ind w:left="360" w:right="-284"/>
        <w:textAlignment w:val="baseline"/>
      </w:pPr>
      <w:r w:rsidRPr="001F1980">
        <w:rPr>
          <w:rStyle w:val="normaltextrun"/>
          <w:i/>
          <w:iCs/>
          <w:lang w:val="en-US"/>
        </w:rPr>
        <w:t>Owning Platforms – Cooperatives in the Digital Economy, </w:t>
      </w:r>
      <w:hyperlink r:id="rId7" w:tgtFrame="_blank" w:history="1">
        <w:r w:rsidRPr="001F1980">
          <w:rPr>
            <w:rStyle w:val="normaltextrun"/>
            <w:color w:val="0000FF"/>
            <w:lang w:val="en-US"/>
          </w:rPr>
          <w:t>HIIG-Blog</w:t>
        </w:r>
      </w:hyperlink>
      <w:r w:rsidRPr="001F1980">
        <w:rPr>
          <w:rStyle w:val="normaltextrun"/>
          <w:lang w:val="en-US"/>
        </w:rPr>
        <w:t>, 11. Mai 2020.</w:t>
      </w:r>
      <w:r w:rsidRPr="001F1980">
        <w:rPr>
          <w:rStyle w:val="eop"/>
        </w:rPr>
        <w:t> </w:t>
      </w:r>
    </w:p>
    <w:p w14:paraId="3BC5EC03" w14:textId="77777777" w:rsidR="00814608" w:rsidRPr="001F1980" w:rsidRDefault="00814608" w:rsidP="00244B89">
      <w:pPr>
        <w:pStyle w:val="paragraph"/>
        <w:spacing w:before="0" w:beforeAutospacing="0" w:after="0" w:afterAutospacing="0"/>
        <w:ind w:left="720" w:right="-284" w:hanging="360"/>
        <w:textAlignment w:val="baseline"/>
      </w:pPr>
      <w:r w:rsidRPr="001F1980">
        <w:rPr>
          <w:rStyle w:val="eop"/>
        </w:rPr>
        <w:t> </w:t>
      </w:r>
    </w:p>
    <w:p w14:paraId="728708F0" w14:textId="46639820" w:rsidR="6573539C" w:rsidRPr="001F1980" w:rsidRDefault="6573539C" w:rsidP="00244B89">
      <w:pPr>
        <w:pStyle w:val="paragraph"/>
        <w:numPr>
          <w:ilvl w:val="0"/>
          <w:numId w:val="25"/>
        </w:numPr>
        <w:spacing w:before="0" w:beforeAutospacing="0" w:after="0" w:afterAutospacing="0"/>
        <w:ind w:left="360" w:right="-284"/>
      </w:pPr>
      <w:r w:rsidRPr="001F1980">
        <w:rPr>
          <w:rStyle w:val="normaltextrun"/>
          <w:i/>
          <w:iCs/>
        </w:rPr>
        <w:t>Datenexportkontrolle am Maßstab der EU-Grundrechtecharta</w:t>
      </w:r>
      <w:r w:rsidR="00EC29C9" w:rsidRPr="001F1980">
        <w:rPr>
          <w:rStyle w:val="normaltextrun"/>
          <w:i/>
          <w:iCs/>
        </w:rPr>
        <w:t xml:space="preserve"> – tatbestandlicher Gleichlauf, </w:t>
      </w:r>
      <w:proofErr w:type="gramStart"/>
      <w:r w:rsidRPr="001F1980">
        <w:rPr>
          <w:rStyle w:val="normaltextrun"/>
          <w:i/>
          <w:iCs/>
        </w:rPr>
        <w:t>wohin?,</w:t>
      </w:r>
      <w:proofErr w:type="gramEnd"/>
      <w:r w:rsidRPr="001F1980">
        <w:rPr>
          <w:rStyle w:val="normaltextrun"/>
          <w:i/>
          <w:iCs/>
        </w:rPr>
        <w:t> </w:t>
      </w:r>
      <w:r w:rsidRPr="001F1980">
        <w:rPr>
          <w:rStyle w:val="normaltextrun"/>
        </w:rPr>
        <w:t>Editorial zur Privacy-Shield-Entscheidung des EuGH, EWS 4 (2020), 1. </w:t>
      </w:r>
    </w:p>
    <w:p w14:paraId="21750C5E" w14:textId="4AD1E232" w:rsidR="6573539C" w:rsidRPr="001F1980" w:rsidRDefault="6573539C" w:rsidP="00244B89">
      <w:pPr>
        <w:pStyle w:val="paragraph"/>
        <w:spacing w:before="0" w:beforeAutospacing="0" w:after="0" w:afterAutospacing="0"/>
        <w:ind w:right="-284" w:hanging="360"/>
        <w:rPr>
          <w:rStyle w:val="normaltextrun"/>
        </w:rPr>
      </w:pPr>
    </w:p>
    <w:p w14:paraId="4A7717C8" w14:textId="35DD5BF9" w:rsidR="009941C5" w:rsidRPr="001F1980" w:rsidRDefault="3C08FA36" w:rsidP="00AD2D84">
      <w:pPr>
        <w:pStyle w:val="paragraph"/>
        <w:numPr>
          <w:ilvl w:val="0"/>
          <w:numId w:val="25"/>
        </w:numPr>
        <w:spacing w:before="0" w:beforeAutospacing="0" w:after="0" w:afterAutospacing="0"/>
        <w:ind w:left="360" w:right="-284"/>
      </w:pPr>
      <w:r w:rsidRPr="001F1980">
        <w:rPr>
          <w:rStyle w:val="normaltextrun"/>
          <w:i/>
          <w:iCs/>
        </w:rPr>
        <w:t xml:space="preserve">Heine/Holzmüller, VGG, </w:t>
      </w:r>
      <w:proofErr w:type="spellStart"/>
      <w:r w:rsidRPr="001F1980">
        <w:rPr>
          <w:rStyle w:val="normaltextrun"/>
          <w:i/>
          <w:iCs/>
        </w:rPr>
        <w:t>Verwertungsgesellschaftengesetz</w:t>
      </w:r>
      <w:proofErr w:type="spellEnd"/>
      <w:r w:rsidRPr="001F1980">
        <w:rPr>
          <w:rStyle w:val="normaltextrun"/>
          <w:i/>
          <w:iCs/>
        </w:rPr>
        <w:t>, 2019</w:t>
      </w:r>
      <w:r w:rsidR="001F1980">
        <w:rPr>
          <w:rStyle w:val="normaltextrun"/>
        </w:rPr>
        <w:t>, ZUM 2021, 77 f.</w:t>
      </w:r>
    </w:p>
    <w:sectPr w:rsidR="009941C5" w:rsidRPr="001F1980" w:rsidSect="00492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3492A" w14:textId="77777777" w:rsidR="004A1C84" w:rsidRDefault="004A1C84" w:rsidP="00492E93">
      <w:pPr>
        <w:spacing w:after="0" w:line="240" w:lineRule="auto"/>
      </w:pPr>
      <w:r>
        <w:separator/>
      </w:r>
    </w:p>
  </w:endnote>
  <w:endnote w:type="continuationSeparator" w:id="0">
    <w:p w14:paraId="4A58B00A" w14:textId="77777777" w:rsidR="004A1C84" w:rsidRDefault="004A1C84" w:rsidP="0049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056E" w14:textId="77777777" w:rsidR="00492E93" w:rsidRDefault="00492E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3920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9F31CB" w14:textId="77777777" w:rsidR="00492E93" w:rsidRDefault="00492E93">
        <w:pPr>
          <w:pStyle w:val="Fuzeile"/>
          <w:jc w:val="center"/>
        </w:pPr>
      </w:p>
      <w:p w14:paraId="0EB546F9" w14:textId="67E2D579" w:rsidR="00492E93" w:rsidRPr="00EC29C9" w:rsidRDefault="00492E93">
        <w:pPr>
          <w:pStyle w:val="Fuzeile"/>
          <w:jc w:val="center"/>
          <w:rPr>
            <w:rFonts w:ascii="Times New Roman" w:hAnsi="Times New Roman" w:cs="Times New Roman"/>
          </w:rPr>
        </w:pPr>
        <w:r w:rsidRPr="00EC29C9">
          <w:rPr>
            <w:rFonts w:ascii="Times New Roman" w:hAnsi="Times New Roman" w:cs="Times New Roman"/>
          </w:rPr>
          <w:fldChar w:fldCharType="begin"/>
        </w:r>
        <w:r w:rsidRPr="00EC29C9">
          <w:rPr>
            <w:rFonts w:ascii="Times New Roman" w:hAnsi="Times New Roman" w:cs="Times New Roman"/>
          </w:rPr>
          <w:instrText>PAGE   \* MERGEFORMAT</w:instrText>
        </w:r>
        <w:r w:rsidRPr="00EC29C9">
          <w:rPr>
            <w:rFonts w:ascii="Times New Roman" w:hAnsi="Times New Roman" w:cs="Times New Roman"/>
          </w:rPr>
          <w:fldChar w:fldCharType="separate"/>
        </w:r>
        <w:r w:rsidR="00AD2D84">
          <w:rPr>
            <w:rFonts w:ascii="Times New Roman" w:hAnsi="Times New Roman" w:cs="Times New Roman"/>
            <w:noProof/>
          </w:rPr>
          <w:t>2</w:t>
        </w:r>
        <w:r w:rsidRPr="00EC29C9">
          <w:rPr>
            <w:rFonts w:ascii="Times New Roman" w:hAnsi="Times New Roman" w:cs="Times New Roman"/>
          </w:rPr>
          <w:fldChar w:fldCharType="end"/>
        </w:r>
      </w:p>
    </w:sdtContent>
  </w:sdt>
  <w:p w14:paraId="53128261" w14:textId="77777777" w:rsidR="00492E93" w:rsidRDefault="00492E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D5A5" w14:textId="77777777" w:rsidR="00492E93" w:rsidRDefault="00492E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AED72" w14:textId="77777777" w:rsidR="004A1C84" w:rsidRDefault="004A1C84" w:rsidP="00492E93">
      <w:pPr>
        <w:spacing w:after="0" w:line="240" w:lineRule="auto"/>
      </w:pPr>
      <w:r>
        <w:separator/>
      </w:r>
    </w:p>
  </w:footnote>
  <w:footnote w:type="continuationSeparator" w:id="0">
    <w:p w14:paraId="40C07843" w14:textId="77777777" w:rsidR="004A1C84" w:rsidRDefault="004A1C84" w:rsidP="0049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77777777" w:rsidR="00492E93" w:rsidRDefault="00492E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C43A" w14:textId="77777777" w:rsidR="00492E93" w:rsidRDefault="00492E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C669" w14:textId="77777777" w:rsidR="00492E93" w:rsidRDefault="00492E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FD5"/>
    <w:multiLevelType w:val="multilevel"/>
    <w:tmpl w:val="A0464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A09"/>
    <w:multiLevelType w:val="multilevel"/>
    <w:tmpl w:val="30AA4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E4D5F"/>
    <w:multiLevelType w:val="multilevel"/>
    <w:tmpl w:val="ED847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53834"/>
    <w:multiLevelType w:val="multilevel"/>
    <w:tmpl w:val="C94AD202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0FA55C1D"/>
    <w:multiLevelType w:val="multilevel"/>
    <w:tmpl w:val="3C54B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367B3"/>
    <w:multiLevelType w:val="multilevel"/>
    <w:tmpl w:val="2820C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73DA9"/>
    <w:multiLevelType w:val="multilevel"/>
    <w:tmpl w:val="7FE29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B2D53"/>
    <w:multiLevelType w:val="multilevel"/>
    <w:tmpl w:val="1E0C0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627EC"/>
    <w:multiLevelType w:val="multilevel"/>
    <w:tmpl w:val="84620D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75CA4"/>
    <w:multiLevelType w:val="multilevel"/>
    <w:tmpl w:val="9F0C25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B7EFE"/>
    <w:multiLevelType w:val="multilevel"/>
    <w:tmpl w:val="4CB2D8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006BC"/>
    <w:multiLevelType w:val="multilevel"/>
    <w:tmpl w:val="0302B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01BAF"/>
    <w:multiLevelType w:val="multilevel"/>
    <w:tmpl w:val="6E44BF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83754"/>
    <w:multiLevelType w:val="multilevel"/>
    <w:tmpl w:val="BBAC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62AA1"/>
    <w:multiLevelType w:val="multilevel"/>
    <w:tmpl w:val="51E63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44E09"/>
    <w:multiLevelType w:val="multilevel"/>
    <w:tmpl w:val="2270A6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66524"/>
    <w:multiLevelType w:val="multilevel"/>
    <w:tmpl w:val="E702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C2FDD"/>
    <w:multiLevelType w:val="multilevel"/>
    <w:tmpl w:val="D2D26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C2A7B"/>
    <w:multiLevelType w:val="multilevel"/>
    <w:tmpl w:val="C026FC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F3653D"/>
    <w:multiLevelType w:val="multilevel"/>
    <w:tmpl w:val="50FEB9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674AA0"/>
    <w:multiLevelType w:val="multilevel"/>
    <w:tmpl w:val="219A6D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34056"/>
    <w:multiLevelType w:val="multilevel"/>
    <w:tmpl w:val="E45C3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63F6A"/>
    <w:multiLevelType w:val="multilevel"/>
    <w:tmpl w:val="EEF4A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56346"/>
    <w:multiLevelType w:val="multilevel"/>
    <w:tmpl w:val="5CC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1435EB"/>
    <w:multiLevelType w:val="multilevel"/>
    <w:tmpl w:val="8DA8D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17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7"/>
  </w:num>
  <w:num w:numId="15">
    <w:abstractNumId w:val="22"/>
  </w:num>
  <w:num w:numId="16">
    <w:abstractNumId w:val="19"/>
  </w:num>
  <w:num w:numId="17">
    <w:abstractNumId w:val="0"/>
  </w:num>
  <w:num w:numId="18">
    <w:abstractNumId w:val="18"/>
  </w:num>
  <w:num w:numId="19">
    <w:abstractNumId w:val="15"/>
  </w:num>
  <w:num w:numId="20">
    <w:abstractNumId w:val="20"/>
  </w:num>
  <w:num w:numId="21">
    <w:abstractNumId w:val="12"/>
  </w:num>
  <w:num w:numId="22">
    <w:abstractNumId w:val="16"/>
  </w:num>
  <w:num w:numId="23">
    <w:abstractNumId w:val="5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08"/>
    <w:rsid w:val="000208C1"/>
    <w:rsid w:val="000A42C2"/>
    <w:rsid w:val="00132E63"/>
    <w:rsid w:val="001963FE"/>
    <w:rsid w:val="001A173D"/>
    <w:rsid w:val="001F1980"/>
    <w:rsid w:val="00226DE8"/>
    <w:rsid w:val="00244B89"/>
    <w:rsid w:val="002478CE"/>
    <w:rsid w:val="002E69AA"/>
    <w:rsid w:val="00492E93"/>
    <w:rsid w:val="004A1C84"/>
    <w:rsid w:val="005F6657"/>
    <w:rsid w:val="006B1EB2"/>
    <w:rsid w:val="006E510A"/>
    <w:rsid w:val="00706123"/>
    <w:rsid w:val="00814608"/>
    <w:rsid w:val="008252CA"/>
    <w:rsid w:val="00835236"/>
    <w:rsid w:val="009941C5"/>
    <w:rsid w:val="009E308D"/>
    <w:rsid w:val="009F7A99"/>
    <w:rsid w:val="00A363DE"/>
    <w:rsid w:val="00A4232D"/>
    <w:rsid w:val="00AD2D84"/>
    <w:rsid w:val="00BC1951"/>
    <w:rsid w:val="00C261EB"/>
    <w:rsid w:val="00DE1F34"/>
    <w:rsid w:val="00EC29C9"/>
    <w:rsid w:val="00FA3E84"/>
    <w:rsid w:val="0777FAF2"/>
    <w:rsid w:val="0A982D0F"/>
    <w:rsid w:val="185F6398"/>
    <w:rsid w:val="235280CB"/>
    <w:rsid w:val="247A1928"/>
    <w:rsid w:val="294B93B3"/>
    <w:rsid w:val="3C08FA36"/>
    <w:rsid w:val="55534AAA"/>
    <w:rsid w:val="624D7D46"/>
    <w:rsid w:val="6573539C"/>
    <w:rsid w:val="69A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EB823"/>
  <w15:chartTrackingRefBased/>
  <w15:docId w15:val="{E09385EE-06A1-47BF-A9A7-150A4261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81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14608"/>
  </w:style>
  <w:style w:type="character" w:customStyle="1" w:styleId="eop">
    <w:name w:val="eop"/>
    <w:basedOn w:val="Absatz-Standardschriftart"/>
    <w:rsid w:val="00814608"/>
  </w:style>
  <w:style w:type="paragraph" w:styleId="Kopfzeile">
    <w:name w:val="header"/>
    <w:basedOn w:val="Standard"/>
    <w:link w:val="KopfzeileZchn"/>
    <w:uiPriority w:val="99"/>
    <w:unhideWhenUsed/>
    <w:rsid w:val="004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E93"/>
  </w:style>
  <w:style w:type="paragraph" w:styleId="Fuzeile">
    <w:name w:val="footer"/>
    <w:basedOn w:val="Standard"/>
    <w:link w:val="FuzeileZchn"/>
    <w:uiPriority w:val="99"/>
    <w:unhideWhenUsed/>
    <w:rsid w:val="004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E93"/>
  </w:style>
  <w:style w:type="character" w:customStyle="1" w:styleId="AbsenderadresseZchn">
    <w:name w:val="Absenderadresse Zchn"/>
    <w:basedOn w:val="Absatz-Standardschriftart"/>
    <w:link w:val="Absenderadresse"/>
    <w:locked/>
    <w:rsid w:val="00A4232D"/>
    <w:rPr>
      <w:sz w:val="16"/>
      <w:szCs w:val="16"/>
      <w:u w:val="single"/>
    </w:rPr>
  </w:style>
  <w:style w:type="paragraph" w:customStyle="1" w:styleId="Absenderadresse">
    <w:name w:val="Absenderadresse"/>
    <w:basedOn w:val="Standard"/>
    <w:next w:val="Standard"/>
    <w:link w:val="AbsenderadresseZchn"/>
    <w:qFormat/>
    <w:rsid w:val="00A4232D"/>
    <w:pPr>
      <w:spacing w:after="60" w:line="276" w:lineRule="auto"/>
      <w:jc w:val="both"/>
    </w:pPr>
    <w:rPr>
      <w:sz w:val="16"/>
      <w:szCs w:val="16"/>
      <w:u w:val="single"/>
    </w:rPr>
  </w:style>
  <w:style w:type="character" w:styleId="Hervorhebung">
    <w:name w:val="Emphasis"/>
    <w:basedOn w:val="Absatz-Standardschriftart"/>
    <w:uiPriority w:val="20"/>
    <w:qFormat/>
    <w:rsid w:val="00A4232D"/>
    <w:rPr>
      <w:i/>
      <w:iCs/>
    </w:rPr>
  </w:style>
  <w:style w:type="paragraph" w:styleId="Listenabsatz">
    <w:name w:val="List Paragraph"/>
    <w:basedOn w:val="Standard"/>
    <w:uiPriority w:val="34"/>
    <w:qFormat/>
    <w:rsid w:val="001F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iig.de/en/owning-platforms-cooperatives-in-the-digital-econom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Humboldt-Universität zu Berlin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Denga</dc:creator>
  <cp:keywords/>
  <dc:description/>
  <cp:lastModifiedBy>Nadja Rode</cp:lastModifiedBy>
  <cp:revision>2</cp:revision>
  <cp:lastPrinted>2021-01-19T11:09:00Z</cp:lastPrinted>
  <dcterms:created xsi:type="dcterms:W3CDTF">2021-01-19T11:14:00Z</dcterms:created>
  <dcterms:modified xsi:type="dcterms:W3CDTF">2021-01-19T11:14:00Z</dcterms:modified>
</cp:coreProperties>
</file>